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Datashop 2026 en chiffres</w:t>
      </w:r>
    </w:p>
    <w:p>
      <w:pPr>
        <w:pStyle w:val="Heading2"/>
      </w:pPr>
      <w:r>
        <w:t>Le rapport d'activité en trois messages</w:t>
      </w:r>
    </w:p>
    <w:p>
      <w:pPr>
        <w:pStyle w:val="Heading1"/>
      </w:pPr>
      <w:r>
        <w:t>Une année de croissance</w:t>
      </w:r>
    </w:p>
    <w:p>
      <w:pPr>
        <w:pStyle w:val="Heading2"/>
      </w:pPr>
      <w:r>
        <w:t>+16,2 % de chiffre d'affaires</w:t>
      </w:r>
    </w:p>
    <w:p>
      <w:pPr>
        <w:pStyle w:val="Heading2"/>
      </w:pPr>
      <w:r>
        <w:t>12 mois sur 12 en hausse</w:t>
      </w:r>
    </w:p>
    <w:p>
      <w:pPr>
        <w:pStyle w:val="Heading1"/>
      </w:pPr>
      <w:r>
        <w:t>Nos quatre canaux</w:t>
      </w:r>
    </w:p>
    <w:p>
      <w:pPr>
        <w:pStyle w:val="Heading2"/>
      </w:pPr>
      <w:r>
        <w:t>Site web, magasins, télévente, marketplace</w:t>
      </w:r>
    </w:p>
    <w:p>
      <w:pPr>
        <w:pStyle w:val="Heading1"/>
      </w:pPr>
      <w:r>
        <w:t>Rendez-vous en 2027</w:t>
      </w:r>
    </w:p>
    <w:p>
      <w:pPr>
        <w:pStyle w:val="Heading2"/>
      </w:pPr>
      <w:r>
        <w:t>Le rapport complet sur datashop.fr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la campagne « Datashop 2026 en chiffres »</dc:title>
  <dc:subject/>
  <dc:creator>Datashop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