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Nos quatre canaux de vente</w:t>
      </w:r>
    </w:p>
    <w:p>
      <w:r>
        <w:t>En 2026, nos clients ont acheté par quatre canaux. Le site web reste le premier (84 k€ de chiffre d'afaires), devant les magasins (65 k€), la télévente (52 k€) et la marketplace (33 k€). La télévente progresse de 71 % en un 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Extrait du rapport d'activité 2026</dc:title>
  <dc:subject/>
  <dc:creator>Datashop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