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DATASHOP eSbi - BRIEF DE MARQUE</w:t>
      </w:r>
    </w:p>
    <w:p>
      <w:r>
        <w:t>Document de travail transmis au studio - version 1</w:t>
      </w:r>
    </w:p>
    <w:p/>
    <w:p>
      <w:r>
        <w:t>1. L ENTREPRISE</w:t>
      </w:r>
    </w:p>
    <w:p>
      <w:r>
        <w:t>Datashop distribue du materiel informatique aux professionnels depuis 2011. Douze salaries, quatre regions commerciales, quatorze references au catalogue. Chiffre d affaires 2026 : 51 306 euros.</w:t>
      </w:r>
    </w:p>
    <w:p/>
    <w:p>
      <w:r>
        <w:t>2. LE PROJET</w:t>
      </w:r>
    </w:p>
    <w:p>
      <w:r>
        <w:t>Datashop lance eSbi, sa gamme de services de formation et d accompagnement destinee a ses clients professionnels. Cette gamme a besoin de sa propre identite visuelle, coherente avec la maison mere mais autonome.</w:t>
      </w:r>
    </w:p>
    <w:p/>
    <w:p>
      <w:r>
        <w:t>3. LA CIBLE</w:t>
      </w:r>
    </w:p>
    <w:p>
      <w:r>
        <w:t>Dirigeants de TPE et PME, responsables administratifs, entre 25 et 50 ans. Ils achetent du materiel mais manquent de temps pour se former. Ils veulent du concret, du rapide, du fiable.</w:t>
      </w:r>
    </w:p>
    <w:p/>
    <w:p>
      <w:r>
        <w:t>4. LE POSITIONNEMENT</w:t>
      </w:r>
    </w:p>
    <w:p>
      <w:r>
        <w:t>Serieux sans etre austere. Technique sans etre froid. eSbi doit inspirer la competence et la clarte, jamais la complexite.</w:t>
      </w:r>
    </w:p>
    <w:p/>
    <w:p>
      <w:r>
        <w:t>5. LES MOTS-CLES</w:t>
      </w:r>
    </w:p>
    <w:p>
      <w:r>
        <w:t>Clair - Progressif - Fiable - Moderne - Accessible</w:t>
      </w:r>
    </w:p>
    <w:p/>
    <w:p>
      <w:r>
        <w:t>6. CE QUE LE LOGO DOIT EXPRIMER</w:t>
      </w:r>
    </w:p>
    <w:p>
      <w:r>
        <w:t>L idee de progression, de montee en competence. La donnee et le chiffre, coeur du metier de Datashop. Une lecture immediate, meme en tres petit format.</w:t>
      </w:r>
    </w:p>
    <w:p/>
    <w:p>
      <w:r>
        <w:t>7. CONTRAINTES TECHNIQUES</w:t>
      </w:r>
    </w:p>
    <w:p>
      <w:r>
        <w:t>Lisible de 16 pixels a 3 metres. Fonctionne en couleur, en noir et en blanc sur fond fonce. Decline en carre pour les avatars et en horizontal pour les documents.</w:t>
      </w:r>
    </w:p>
    <w:p/>
    <w:p>
      <w:r>
        <w:t>8. COULEURS PRESSENTIES</w:t>
      </w:r>
    </w:p>
    <w:p>
      <w:r>
        <w:t>Violet 6D5EF8 (couleur principale) - Cyan 22D3EE (accent) - Bleu nuit 0B1020 (texte).</w:t>
      </w:r>
    </w:p>
    <w:p>
      <w:r>
        <w:t>Le studio reste libre de proposer une alternative argumentee.</w:t>
      </w:r>
    </w:p>
    <w:p/>
    <w:p>
      <w:r>
        <w:t>9. LIVRABLES ATTENDUS</w:t>
      </w:r>
    </w:p>
    <w:p>
      <w:r>
        <w:t>Logo principal horizontal, version carree, version monochrome, favicon.</w:t>
      </w:r>
    </w:p>
    <w:p>
      <w:r>
        <w:t>Formats : AI (source), SVG, PNG detoure, PDF.</w:t>
      </w:r>
    </w:p>
    <w:p>
      <w:r>
        <w:t>Une planche de presentation montrant le logo en situation.</w:t>
      </w:r>
    </w:p>
    <w:p/>
    <w:p>
      <w:r>
        <w:t>10. CE QU IL NE FAUT PAS FAIRE</w:t>
      </w:r>
    </w:p>
    <w:p>
      <w:r>
        <w:t>Pas d effet 3D, pas de degrade complexe, pas de typographie fantaisie. Rien qui vieillisse en trois ans.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